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Summary of Decisions &amp; Action Points: Orthography Harmonisation &amp; Literacy Pedagogy</w:t>
      </w:r>
    </w:p>
    <w:p>
      <w:pPr>
        <w:jc w:val="center"/>
      </w:pPr>
      <w:r>
        <w:rPr>
          <w:color w:val="999999"/>
          <w:sz w:val="20"/>
        </w:rPr>
        <w:t>Hermes Agent for Nasir Baba | April 2026</w:t>
      </w:r>
    </w:p>
    <w:p/>
    <w:p>
      <w:pPr>
        <w:pStyle w:val="Heading1"/>
      </w:pPr>
      <w:r>
        <w:t>Executive Summary</w:t>
      </w:r>
    </w:p>
    <w:p>
      <w:r>
        <w:rPr>
          <w:rFonts w:ascii="Calibri" w:hAnsi="Calibri"/>
          <w:sz w:val="22"/>
        </w:rPr>
        <w:t>This document summarises the key decisions and action points from two foundational documents: the "Report on the Harmonisation of the Seven National Languages Orthographies" and the "Literacy Notes" detailing the pedagogical approach for the RISE Foundational Literacy Programme.</w:t>
      </w:r>
    </w:p>
    <w:p>
      <w:pPr>
        <w:pStyle w:val="Heading1"/>
      </w:pPr>
      <w:r>
        <w:t>I. Orthography Harmonisation: Key Decisions</w:t>
      </w:r>
    </w:p>
    <w:p>
      <w:r>
        <w:rPr>
          <w:rFonts w:ascii="Calibri" w:hAnsi="Calibri"/>
          <w:sz w:val="22"/>
        </w:rPr>
        <w:t>The MoBSE Codification Task Force, with technical support from the RISE Programme, has completed a systematic review and validation of the orthographies for all seven national languages of The Gambia: Mandinka, Pulaar, Jola, Wolof, Seereer, Manjaku, and Sarahule.</w:t>
      </w:r>
    </w:p>
    <w:p>
      <w:pPr>
        <w:pStyle w:val="ListBullet"/>
      </w:pPr>
      <w:r>
        <w:rPr>
          <w:rFonts w:ascii="Calibri" w:hAnsi="Calibri"/>
          <w:b/>
          <w:sz w:val="22"/>
        </w:rPr>
        <w:t>Formal Validation of 7 National Language Orthographies:</w:t>
      </w:r>
      <w:r>
        <w:rPr>
          <w:rFonts w:ascii="Calibri" w:hAnsi="Calibri"/>
          <w:sz w:val="22"/>
        </w:rPr>
        <w:t xml:space="preserve"> The primary decision was the formal review, validation, and endorsement of a single, consistent orthography for each of the seven national languages.</w:t>
      </w:r>
    </w:p>
    <w:p>
      <w:pPr>
        <w:pStyle w:val="ListBullet"/>
      </w:pPr>
      <w:r>
        <w:rPr>
          <w:rFonts w:ascii="Calibri" w:hAnsi="Calibri"/>
          <w:b/>
          <w:sz w:val="22"/>
        </w:rPr>
        <w:t>Establishment of an Authoritative Standard:</w:t>
      </w:r>
      <w:r>
        <w:rPr>
          <w:rFonts w:ascii="Calibri" w:hAnsi="Calibri"/>
          <w:sz w:val="22"/>
        </w:rPr>
        <w:t xml:space="preserve"> This endorsed set of orthographies, documented in the "Orthography Validation and Codification Register," is now the official and authoritative standard for all materials development, teacher training, and quality assurance under the RISE Programme.</w:t>
      </w:r>
    </w:p>
    <w:p>
      <w:pPr>
        <w:pStyle w:val="ListBullet"/>
      </w:pPr>
      <w:r>
        <w:rPr>
          <w:rFonts w:ascii="Calibri" w:hAnsi="Calibri"/>
          <w:b/>
          <w:sz w:val="22"/>
        </w:rPr>
        <w:t>Systematic Review Process:</w:t>
      </w:r>
      <w:r>
        <w:rPr>
          <w:rFonts w:ascii="Calibri" w:hAnsi="Calibri"/>
          <w:sz w:val="22"/>
        </w:rPr>
        <w:t xml:space="preserve"> The validation was the result of a comprehensive process that included compiling existing documentation, analysing inconsistencies in pilot materials, conducting language team workshops, and securing formal endorsement from the language experts on the Codification Task Force.</w:t>
      </w:r>
    </w:p>
    <w:p>
      <w:pPr>
        <w:pStyle w:val="Heading1"/>
      </w:pPr>
      <w:r>
        <w:t>II. Orthography Harmonisation: Key Action Points</w:t>
      </w:r>
    </w:p>
    <w:p>
      <w:r>
        <w:rPr>
          <w:rFonts w:ascii="Calibri" w:hAnsi="Calibri"/>
          <w:sz w:val="22"/>
        </w:rPr>
        <w:t>The following actions are required to implement the harmonised orthographies effectively.</w:t>
      </w:r>
    </w:p>
    <w:p>
      <w:pPr>
        <w:pStyle w:val="ListBullet"/>
      </w:pPr>
      <w:r>
        <w:rPr>
          <w:rFonts w:ascii="Calibri" w:hAnsi="Calibri"/>
          <w:b/>
          <w:sz w:val="22"/>
        </w:rPr>
        <w:t>Ensure Universal Adherence:</w:t>
      </w:r>
      <w:r>
        <w:rPr>
          <w:rFonts w:ascii="Calibri" w:hAnsi="Calibri"/>
          <w:sz w:val="22"/>
        </w:rPr>
        <w:t xml:space="preserve"> All materials writers, editors, illustrators, and validators must immediately adopt and use the newly codified register as the sole quality assurance reference.</w:t>
      </w:r>
    </w:p>
    <w:p>
      <w:pPr>
        <w:pStyle w:val="ListBullet"/>
      </w:pPr>
      <w:r>
        <w:rPr>
          <w:rFonts w:ascii="Calibri" w:hAnsi="Calibri"/>
          <w:b/>
          <w:sz w:val="22"/>
        </w:rPr>
        <w:t>Complete Review of Remaining Materials:</w:t>
      </w:r>
      <w:r>
        <w:rPr>
          <w:rFonts w:ascii="Calibri" w:hAnsi="Calibri"/>
          <w:sz w:val="22"/>
        </w:rPr>
        <w:t xml:space="preserve"> The review of Grade 1 Term 1 and ECD 3 Term 1 materials is complete. A plan must be developed to review all remaining educational materials to ensure they align with the new standard.</w:t>
      </w:r>
    </w:p>
    <w:p>
      <w:pPr>
        <w:pStyle w:val="ListBullet"/>
      </w:pPr>
      <w:r>
        <w:rPr>
          <w:rFonts w:ascii="Calibri" w:hAnsi="Calibri"/>
          <w:b/>
          <w:sz w:val="22"/>
        </w:rPr>
        <w:t>Launch Public Sensitisation Campaign:</w:t>
      </w:r>
      <w:r>
        <w:rPr>
          <w:rFonts w:ascii="Calibri" w:hAnsi="Calibri"/>
          <w:sz w:val="22"/>
        </w:rPr>
        <w:t xml:space="preserve"> There is a recognised need for more public sensitisation on the importance of using standardised national language orthographies for foundational learning to build community trust and support.</w:t>
      </w:r>
    </w:p>
    <w:p>
      <w:pPr>
        <w:pStyle w:val="Heading1"/>
      </w:pPr>
      <w:r>
        <w:t>III. Literacy Pedagogy: Key Decisions &amp; Principles</w:t>
      </w:r>
    </w:p>
    <w:p>
      <w:r>
        <w:rPr>
          <w:rFonts w:ascii="Calibri" w:hAnsi="Calibri"/>
          <w:sz w:val="22"/>
        </w:rPr>
        <w:t>The "Literacy Notes," derived from the Grade 1 Term 2 Teacher Guides, codify the core pedagogical approach for literacy instruction.</w:t>
      </w:r>
    </w:p>
    <w:p>
      <w:pPr>
        <w:pStyle w:val="ListBullet"/>
      </w:pPr>
      <w:r>
        <w:rPr>
          <w:rFonts w:ascii="Calibri" w:hAnsi="Calibri"/>
          <w:b/>
          <w:sz w:val="22"/>
        </w:rPr>
        <w:t>Systematic, Explicit Phonics Instruction:</w:t>
      </w:r>
      <w:r>
        <w:rPr>
          <w:rFonts w:ascii="Calibri" w:hAnsi="Calibri"/>
          <w:sz w:val="22"/>
        </w:rPr>
        <w:t xml:space="preserve"> The core instructional methodology is built on a systematic progression from learning individual letter sounds, to blending sounds into syllables, and finally blending syllables into complete words.</w:t>
      </w:r>
    </w:p>
    <w:p>
      <w:pPr>
        <w:pStyle w:val="ListBullet"/>
      </w:pPr>
      <w:r>
        <w:rPr>
          <w:rFonts w:ascii="Calibri" w:hAnsi="Calibri"/>
          <w:b/>
          <w:sz w:val="22"/>
        </w:rPr>
        <w:t>Integration of Common (High-Frequency) Words:</w:t>
      </w:r>
      <w:r>
        <w:rPr>
          <w:rFonts w:ascii="Calibri" w:hAnsi="Calibri"/>
          <w:sz w:val="22"/>
        </w:rPr>
        <w:t xml:space="preserve"> Alongside decodable words, the curriculum will explicitly teach common words to build sight recognition and overall reading fluency.</w:t>
      </w:r>
    </w:p>
    <w:p>
      <w:pPr>
        <w:pStyle w:val="ListBullet"/>
      </w:pPr>
      <w:r>
        <w:rPr>
          <w:rFonts w:ascii="Calibri" w:hAnsi="Calibri"/>
          <w:b/>
          <w:sz w:val="22"/>
        </w:rPr>
        <w:t>Focus on Reading Fluency:</w:t>
      </w:r>
      <w:r>
        <w:rPr>
          <w:rFonts w:ascii="Calibri" w:hAnsi="Calibri"/>
          <w:sz w:val="22"/>
        </w:rPr>
        <w:t xml:space="preserve"> Fluency is a key objective, to be developed through structured activities such as partner reading and repeated reading of sentences and short texts with appropriate expression.</w:t>
      </w:r>
    </w:p>
    <w:p>
      <w:pPr>
        <w:pStyle w:val="ListBullet"/>
      </w:pPr>
      <w:r>
        <w:rPr>
          <w:rFonts w:ascii="Calibri" w:hAnsi="Calibri"/>
          <w:b/>
          <w:sz w:val="22"/>
        </w:rPr>
        <w:t>Use of Decodable Texts:</w:t>
      </w:r>
      <w:r>
        <w:rPr>
          <w:rFonts w:ascii="Calibri" w:hAnsi="Calibri"/>
          <w:sz w:val="22"/>
        </w:rPr>
        <w:t xml:space="preserve"> Pupil-facing reading materials will be strictly decodable, meaning they are written using the letters and word types that have been explicitly taught.</w:t>
      </w:r>
    </w:p>
    <w:p>
      <w:pPr>
        <w:pStyle w:val="Heading1"/>
      </w:pPr>
      <w:r>
        <w:t>IV. Literacy Pedagogy: Key Action Points</w:t>
      </w:r>
    </w:p>
    <w:p>
      <w:r>
        <w:rPr>
          <w:rFonts w:ascii="Calibri" w:hAnsi="Calibri"/>
          <w:sz w:val="22"/>
        </w:rPr>
        <w:t>Implementing the pedagogical decisions requires the following actions.</w:t>
      </w:r>
    </w:p>
    <w:p>
      <w:pPr>
        <w:pStyle w:val="ListBullet"/>
      </w:pPr>
      <w:r>
        <w:rPr>
          <w:rFonts w:ascii="Calibri" w:hAnsi="Calibri"/>
          <w:b/>
          <w:sz w:val="22"/>
        </w:rPr>
        <w:t>Develop Explicit Teacher Guides:</w:t>
      </w:r>
      <w:r>
        <w:rPr>
          <w:rFonts w:ascii="Calibri" w:hAnsi="Calibri"/>
          <w:sz w:val="22"/>
        </w:rPr>
        <w:t xml:space="preserve"> Teacher guides must provide clear, scripted, step-by-step instructions for all instructional routines (e.g., how to model blending, how to conduct rapid syllable reading).</w:t>
      </w:r>
    </w:p>
    <w:p>
      <w:pPr>
        <w:pStyle w:val="ListBullet"/>
      </w:pPr>
      <w:r>
        <w:rPr>
          <w:rFonts w:ascii="Calibri" w:hAnsi="Calibri"/>
          <w:b/>
          <w:sz w:val="22"/>
        </w:rPr>
        <w:t>Align Pupil-Facing Materials:</w:t>
      </w:r>
      <w:r>
        <w:rPr>
          <w:rFonts w:ascii="Calibri" w:hAnsi="Calibri"/>
          <w:sz w:val="22"/>
        </w:rPr>
        <w:t xml:space="preserve"> Pupil books and other materials must be developed to directly support the instructional model, incorporating features like syllable boxes, decodable stories, and common word lists.</w:t>
      </w:r>
    </w:p>
    <w:p>
      <w:pPr>
        <w:pStyle w:val="ListBullet"/>
      </w:pPr>
      <w:r>
        <w:rPr>
          <w:rFonts w:ascii="Calibri" w:hAnsi="Calibri"/>
          <w:b/>
          <w:sz w:val="22"/>
        </w:rPr>
        <w:t>Focus Teacher Training:</w:t>
      </w:r>
      <w:r>
        <w:rPr>
          <w:rFonts w:ascii="Calibri" w:hAnsi="Calibri"/>
          <w:sz w:val="22"/>
        </w:rPr>
        <w:t xml:space="preserve"> All teacher training must be centred on modeling and providing opportunities for teachers to practice these specific, explicit instructional routines to ensure high-fidelity implementation in the classroom.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