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Post-Jerreh Camp Activities Schedule: RISE FLP Term 2 &amp; 3 Planning</w:t>
      </w:r>
    </w:p>
    <w:p>
      <w:pPr>
        <w:jc w:val="center"/>
      </w:pPr>
      <w:r>
        <w:rPr>
          <w:color w:val="666666"/>
          <w:sz w:val="28"/>
        </w:rPr>
        <w:t>May - July 2026</w:t>
      </w:r>
    </w:p>
    <w:p>
      <w:pPr>
        <w:jc w:val="center"/>
      </w:pPr>
      <w:r>
        <w:rPr>
          <w:color w:val="999999"/>
          <w:sz w:val="20"/>
        </w:rPr>
        <w:t>RISE FLP / Learning Matters | April 2026</w:t>
      </w:r>
    </w:p>
    <w:p/>
    <w:p>
      <w:pPr>
        <w:pStyle w:val="Heading1"/>
      </w:pPr>
      <w:r>
        <w:t>Schedule: Term 3 Material Development</w:t>
      </w:r>
    </w:p>
    <w:p>
      <w:pPr>
        <w:pStyle w:val="ListBullet"/>
      </w:pPr>
      <w:r>
        <w:rPr>
          <w:rFonts w:ascii="Calibri" w:hAnsi="Calibri"/>
          <w:b/>
          <w:sz w:val="22"/>
        </w:rPr>
        <w:t>Activity:</w:t>
      </w:r>
      <w:r>
        <w:rPr>
          <w:rFonts w:ascii="Calibri" w:hAnsi="Calibri"/>
          <w:sz w:val="22"/>
        </w:rPr>
        <w:t xml:space="preserve"> Term 3 Material Development Workshop</w:t>
      </w:r>
    </w:p>
    <w:p>
      <w:pPr>
        <w:pStyle w:val="ListBullet"/>
      </w:pPr>
      <w:r>
        <w:rPr>
          <w:rFonts w:ascii="Calibri" w:hAnsi="Calibri"/>
          <w:b/>
          <w:sz w:val="22"/>
        </w:rPr>
        <w:t>Timeline:</w:t>
      </w:r>
      <w:r>
        <w:rPr>
          <w:rFonts w:ascii="Calibri" w:hAnsi="Calibri"/>
          <w:sz w:val="22"/>
        </w:rPr>
        <w:t xml:space="preserve"> June 7 - July 5, 2026 (4 weeks)</w:t>
      </w:r>
    </w:p>
    <w:p>
      <w:pPr>
        <w:pStyle w:val="ListBullet"/>
      </w:pPr>
      <w:r>
        <w:rPr>
          <w:rFonts w:ascii="Calibri" w:hAnsi="Calibri"/>
          <w:b/>
          <w:sz w:val="22"/>
        </w:rPr>
        <w:t>Lead/Focal Point:</w:t>
      </w:r>
      <w:r>
        <w:rPr>
          <w:rFonts w:ascii="Calibri" w:hAnsi="Calibri"/>
          <w:sz w:val="22"/>
        </w:rPr>
        <w:t xml:space="preserve"> LM Team, CREDD, Language Groups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Activity</w:t>
            </w:r>
          </w:p>
        </w:tc>
        <w:tc>
          <w:tcPr>
            <w:tcW w:type="dxa" w:w="2880"/>
          </w:tcPr>
          <w:p>
            <w:r>
              <w:rPr>
                <w:b/>
              </w:rPr>
              <w:t>Timeline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Lead/Focal Point</w:t>
            </w:r>
          </w:p>
        </w:tc>
      </w:tr>
      <w:tr>
        <w:tc>
          <w:tcPr>
            <w:tcW w:type="dxa" w:w="2880"/>
          </w:tcPr>
          <w:p>
            <w:r>
              <w:t>Review and Finalize Term 2 Materials</w:t>
            </w:r>
          </w:p>
        </w:tc>
        <w:tc>
          <w:tcPr>
            <w:tcW w:type="dxa" w:w="2880"/>
          </w:tcPr>
          <w:p>
            <w:r>
              <w:t>May 4 - 8, 2026</w:t>
            </w:r>
          </w:p>
        </w:tc>
        <w:tc>
          <w:tcPr>
            <w:tcW w:type="dxa" w:w="2880"/>
          </w:tcPr>
          <w:p>
            <w:r>
              <w:t>Language Groups &amp; LM Team</w:t>
            </w:r>
          </w:p>
        </w:tc>
      </w:tr>
      <w:tr>
        <w:tc>
          <w:tcPr>
            <w:tcW w:type="dxa" w:w="2880"/>
          </w:tcPr>
          <w:p>
            <w:r>
              <w:t>Illustration of Term 2 Materials</w:t>
            </w:r>
          </w:p>
        </w:tc>
        <w:tc>
          <w:tcPr>
            <w:tcW w:type="dxa" w:w="2880"/>
          </w:tcPr>
          <w:p>
            <w:r>
              <w:t>May 4 - 8, 2026 (plus potential extension)</w:t>
            </w:r>
          </w:p>
        </w:tc>
        <w:tc>
          <w:tcPr>
            <w:tcW w:type="dxa" w:w="2880"/>
          </w:tcPr>
          <w:p>
            <w:r>
              <w:t>Illustration Team</w:t>
            </w:r>
          </w:p>
        </w:tc>
      </w:tr>
      <w:tr>
        <w:tc>
          <w:tcPr>
            <w:tcW w:type="dxa" w:w="2880"/>
          </w:tcPr>
          <w:p>
            <w:r>
              <w:t>Codification Review (Term 1 Completion &amp; Term 2)</w:t>
            </w:r>
          </w:p>
        </w:tc>
        <w:tc>
          <w:tcPr>
            <w:tcW w:type="dxa" w:w="2880"/>
          </w:tcPr>
          <w:p>
            <w:r>
              <w:t>May 11 - 22, 2026</w:t>
            </w:r>
          </w:p>
        </w:tc>
        <w:tc>
          <w:tcPr>
            <w:tcW w:type="dxa" w:w="2880"/>
          </w:tcPr>
          <w:p>
            <w:r>
              <w:t>Codification Team &amp; Desk Officers</w:t>
            </w:r>
          </w:p>
        </w:tc>
      </w:tr>
      <w:tr>
        <w:tc>
          <w:tcPr>
            <w:tcW w:type="dxa" w:w="2880"/>
          </w:tcPr>
          <w:p>
            <w:r>
              <w:t>Layout Design of Term 2 Materials</w:t>
            </w:r>
          </w:p>
        </w:tc>
        <w:tc>
          <w:tcPr>
            <w:tcW w:type="dxa" w:w="2880"/>
          </w:tcPr>
          <w:p>
            <w:r>
              <w:t>May 18 - 29, 2026</w:t>
            </w:r>
          </w:p>
        </w:tc>
        <w:tc>
          <w:tcPr>
            <w:tcW w:type="dxa" w:w="2880"/>
          </w:tcPr>
          <w:p>
            <w:r>
              <w:t>Layout &amp; Design Team</w:t>
            </w:r>
          </w:p>
        </w:tc>
      </w:tr>
      <w:tr>
        <w:tc>
          <w:tcPr>
            <w:tcW w:type="dxa" w:w="2880"/>
          </w:tcPr>
          <w:p>
            <w:r>
              <w:t>Compilation, Collation &amp; Final Hand-off to MoBSE</w:t>
            </w:r>
          </w:p>
        </w:tc>
        <w:tc>
          <w:tcPr>
            <w:tcW w:type="dxa" w:w="2880"/>
          </w:tcPr>
          <w:p>
            <w:r>
              <w:t>June 1 - 5, 2026</w:t>
            </w:r>
          </w:p>
        </w:tc>
        <w:tc>
          <w:tcPr>
            <w:tcW w:type="dxa" w:w="2880"/>
          </w:tcPr>
          <w:p>
            <w:r>
              <w:t>LM Team &amp; CREDD</w:t>
            </w:r>
          </w:p>
        </w:tc>
      </w:tr>
    </w:tbl>
    <w:p/>
    <w:p>
      <w:pPr>
        <w:pStyle w:val="Heading1"/>
      </w:pPr>
      <w:r>
        <w:t>Key Considerations for MoBSE Planning</w:t>
      </w:r>
    </w:p>
    <w:p>
      <w:r>
        <w:rPr>
          <w:rFonts w:ascii="Calibri" w:hAnsi="Calibri"/>
          <w:sz w:val="22"/>
        </w:rPr>
        <w:t>To ensure the smooth execution of the upcoming activities, please consider the following points for planning purposes:</w:t>
      </w:r>
    </w:p>
    <w:p>
      <w:pPr>
        <w:pStyle w:val="ListNumber"/>
      </w:pPr>
      <w:r>
        <w:rPr>
          <w:rFonts w:ascii="Calibri" w:hAnsi="Calibri"/>
          <w:b/>
          <w:sz w:val="22"/>
        </w:rPr>
        <w:t>Codification Team Composition:</w:t>
      </w:r>
      <w:r>
        <w:rPr>
          <w:rFonts w:ascii="Calibri" w:hAnsi="Calibri"/>
          <w:sz w:val="22"/>
        </w:rPr>
        <w:t xml:space="preserve"> To prevent the bottlenecks experienced previously, we recommend that each Desk Officer be supported by two members from their respective language teams (one representing Grade 1 and one representing ECD). This will distribute the workload and enhance the quality of the review.</w:t>
      </w:r>
    </w:p>
    <w:p>
      <w:pPr>
        <w:pStyle w:val="ListNumber"/>
      </w:pPr>
      <w:r>
        <w:rPr>
          <w:rFonts w:ascii="Calibri" w:hAnsi="Calibri"/>
          <w:b/>
          <w:sz w:val="22"/>
        </w:rPr>
        <w:t>English Language Material Review:</w:t>
      </w:r>
      <w:r>
        <w:rPr>
          <w:rFonts w:ascii="Calibri" w:hAnsi="Calibri"/>
          <w:sz w:val="22"/>
        </w:rPr>
        <w:t xml:space="preserve"> A dedicated team should be composed to review the English Language materials. This team's mandate will be to ensure quality, consistency, and full compliance with the agreed-upon harmonization standards.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