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hd w:val="clear" w:color="auto" w:fill="1A375E"/>
        <w:spacing w:before="240" w:after="80"/>
      </w:pPr>
      <w:r>
        <w:rPr>
          <w:rFonts w:ascii="Calibri" w:hAnsi="Calibri"/>
          <w:b/>
          <w:color w:val="FFFFFF"/>
          <w:sz w:val="40"/>
        </w:rPr>
        <w:t>Structured Pedagogy in Nigerian Foundational Learning</w:t>
      </w:r>
    </w:p>
    <w:p>
      <w:pPr>
        <w:shd w:val="clear" w:color="auto" w:fill="1A375E"/>
        <w:spacing w:before="0" w:after="240"/>
      </w:pPr>
      <w:r>
        <w:rPr>
          <w:rFonts w:ascii="Calibri" w:hAnsi="Calibri"/>
          <w:i/>
          <w:color w:val="CCDDEE"/>
          <w:sz w:val="24"/>
        </w:rPr>
        <w:t>A Review of Implementation Features, Successes, and Challenges</w:t>
      </w:r>
    </w:p>
    <w:p>
      <w:pPr>
        <w:spacing w:before="120" w:after="360"/>
        <w:jc w:val="right"/>
      </w:pPr>
      <w:r>
        <w:rPr>
          <w:rFonts w:ascii="Calibri" w:hAnsi="Calibri"/>
          <w:color w:val="555555"/>
          <w:sz w:val="20"/>
        </w:rPr>
        <w:t>Compiled by Hermes Agent  ·  Nasir Baba  ·  April 2026</w:t>
      </w:r>
    </w:p>
    <w:p>
      <w:pPr>
        <w:pBdr>
          <w:bottom w:val="single" w:sz="8" w:space="4" w:color="2E6DA4"/>
        </w:pBdr>
        <w:spacing w:before="360" w:after="120"/>
      </w:pPr>
      <w:r>
        <w:rPr>
          <w:rFonts w:ascii="Calibri" w:hAnsi="Calibri"/>
          <w:b/>
          <w:color w:val="1A375E"/>
          <w:sz w:val="22"/>
        </w:rPr>
        <w:t>INTRODUCTION: THE NIGERIAN CONTEXT</w:t>
      </w:r>
    </w:p>
    <w:p>
      <w:pPr>
        <w:spacing w:before="0" w:after="160" w:line="320" w:lineRule="exact"/>
      </w:pPr>
      <w:r>
        <w:rPr>
          <w:rFonts w:ascii="Calibri" w:hAnsi="Calibri"/>
          <w:b w:val="0"/>
          <w:color w:val="1A1A1A"/>
          <w:sz w:val="22"/>
        </w:rPr>
        <w:t>Nigeria faces a significant foundational learning crisis, with estimates suggesting that over 75% of children are unable to read and understand a simple text by age 10. This challenge is compounded by systemic issues including a shortage of qualified teachers, high pupil-teacher ratios, and a scarcity of quality teaching-learning materials. In response, the Government of Nigeria, with support from partners like the World Bank, has begun implementing a Structured Pedagogy approach. This evidence-based model provides a systematic framework to improve classroom instruction and boost student performance in foundational literacy and numeracy.</w:t>
      </w:r>
    </w:p>
    <w:p>
      <w:pPr>
        <w:pBdr>
          <w:bottom w:val="single" w:sz="8" w:space="4" w:color="2E6DA4"/>
        </w:pBdr>
        <w:spacing w:before="360" w:after="120"/>
      </w:pPr>
      <w:r>
        <w:rPr>
          <w:rFonts w:ascii="Calibri" w:hAnsi="Calibri"/>
          <w:b/>
          <w:color w:val="1A375E"/>
          <w:sz w:val="22"/>
        </w:rPr>
        <w:t>KEY FEATURES OF THE STRUCTURED PEDAGOGY IMPLEMENTATION</w:t>
      </w:r>
    </w:p>
    <w:p>
      <w:pPr>
        <w:spacing w:before="0" w:after="160" w:line="320" w:lineRule="exact"/>
      </w:pPr>
      <w:r>
        <w:rPr>
          <w:rFonts w:ascii="Calibri" w:hAnsi="Calibri"/>
          <w:b w:val="0"/>
          <w:color w:val="1A1A1A"/>
          <w:sz w:val="22"/>
        </w:rPr>
        <w:t>The implementation in Nigeria, particularly through programmes like the HOPE-Edu PforR, is built on several core components designed to work in concert to improve instructional quality at scale.</w:t>
      </w:r>
    </w:p>
    <w:p>
      <w:pPr>
        <w:pStyle w:val="ListBullet"/>
        <w:spacing w:before="40" w:after="80" w:line="300" w:lineRule="exact"/>
        <w:ind w:left="454" w:hanging="227"/>
      </w:pPr>
      <w:r>
        <w:rPr>
          <w:rFonts w:ascii="Calibri" w:hAnsi="Calibri"/>
          <w:b/>
          <w:color w:val="1A375E"/>
          <w:sz w:val="22"/>
        </w:rPr>
        <w:t>Structured Teaching and Learning Materials (TLMs):</w:t>
      </w:r>
      <w:r>
        <w:rPr>
          <w:rFonts w:ascii="Calibri" w:hAnsi="Calibri"/>
          <w:b w:val="0"/>
          <w:color w:val="1A1A1A"/>
          <w:sz w:val="22"/>
        </w:rPr>
        <w:t xml:space="preserve"> States are developing and supplying student textbooks and teacher guides for Primary Grades 1–3. These materials feature detailed scope and sequences, clear skills progressions, and structured lesson plans. The goal is a 1:1 student-to-textbook ratio, supported by a system to track materials from the printer to the school.</w:t>
      </w:r>
    </w:p>
    <w:p>
      <w:pPr>
        <w:pStyle w:val="ListBullet"/>
        <w:spacing w:before="40" w:after="80" w:line="300" w:lineRule="exact"/>
        <w:ind w:left="454" w:hanging="227"/>
      </w:pPr>
      <w:r>
        <w:rPr>
          <w:rFonts w:ascii="Calibri" w:hAnsi="Calibri"/>
          <w:b/>
          <w:color w:val="1A375E"/>
          <w:sz w:val="22"/>
        </w:rPr>
        <w:t>Teacher Professional Development and Support:</w:t>
      </w:r>
      <w:r>
        <w:rPr>
          <w:rFonts w:ascii="Calibri" w:hAnsi="Calibri"/>
          <w:b w:val="0"/>
          <w:color w:val="1A1A1A"/>
          <w:sz w:val="22"/>
        </w:rPr>
        <w:t xml:space="preserve"> Teachers receive initial training on how to effectively use the new lesson plans and instructional materials, followed by ongoing in-classroom mentoring by experienced pedagogues — LGEA Teacher Support Officers (TSOs) and School Principals.</w:t>
      </w:r>
    </w:p>
    <w:p>
      <w:pPr>
        <w:pStyle w:val="ListBullet"/>
        <w:spacing w:before="40" w:after="80" w:line="300" w:lineRule="exact"/>
        <w:ind w:left="454" w:hanging="227"/>
      </w:pPr>
      <w:r>
        <w:rPr>
          <w:rFonts w:ascii="Calibri" w:hAnsi="Calibri"/>
          <w:b/>
          <w:color w:val="1A375E"/>
          <w:sz w:val="22"/>
        </w:rPr>
        <w:t>Action-Oriented Evaluation of Learning:</w:t>
      </w:r>
      <w:r>
        <w:rPr>
          <w:rFonts w:ascii="Calibri" w:hAnsi="Calibri"/>
          <w:b w:val="0"/>
          <w:color w:val="1A1A1A"/>
          <w:sz w:val="22"/>
        </w:rPr>
        <w:t xml:space="preserve"> The model incorporates a data-driven feedback loop. LGEAs conduct annual sample-based learning evaluations for Grades 1 and 2. Results drive adjustments in programme design and delivery, providing targeted advice to teachers.</w:t>
      </w:r>
    </w:p>
    <w:p>
      <w:pPr>
        <w:pBdr>
          <w:bottom w:val="single" w:sz="8" w:space="4" w:color="2E6DA4"/>
        </w:pBdr>
        <w:spacing w:before="360" w:after="120"/>
      </w:pPr>
      <w:r>
        <w:rPr>
          <w:rFonts w:ascii="Calibri" w:hAnsi="Calibri"/>
          <w:b/>
          <w:color w:val="1A375E"/>
          <w:sz w:val="22"/>
        </w:rPr>
        <w:t>SUCCESSES AND STRENGTHS OF THE APPROACH</w:t>
      </w:r>
    </w:p>
    <w:p>
      <w:pPr>
        <w:spacing w:before="0" w:after="160" w:line="320" w:lineRule="exact"/>
      </w:pPr>
      <w:r>
        <w:rPr>
          <w:rFonts w:ascii="Calibri" w:hAnsi="Calibri"/>
          <w:b w:val="0"/>
          <w:color w:val="1A1A1A"/>
          <w:sz w:val="22"/>
        </w:rPr>
        <w:t>While the available documents describe the design and strategy rather than evaluated outcomes, the strengths of the model represent significant potential successes:</w:t>
      </w:r>
    </w:p>
    <w:p>
      <w:pPr>
        <w:pStyle w:val="ListBullet"/>
        <w:spacing w:before="40" w:after="80" w:line="300" w:lineRule="exact"/>
        <w:ind w:left="454" w:hanging="227"/>
      </w:pPr>
      <w:r>
        <w:rPr>
          <w:rFonts w:ascii="Calibri" w:hAnsi="Calibri"/>
          <w:b/>
          <w:color w:val="1A375E"/>
          <w:sz w:val="22"/>
        </w:rPr>
        <w:t>Consistency and Quality at Scale:</w:t>
      </w:r>
      <w:r>
        <w:rPr>
          <w:rFonts w:ascii="Calibri" w:hAnsi="Calibri"/>
          <w:b w:val="0"/>
          <w:color w:val="1A1A1A"/>
          <w:sz w:val="22"/>
        </w:rPr>
        <w:t xml:space="preserve"> Structured lesson plans and teacher guides ensure that evidence-based instruction is delivered consistently across a large and diverse school system.</w:t>
      </w:r>
    </w:p>
    <w:p>
      <w:pPr>
        <w:pStyle w:val="ListBullet"/>
        <w:spacing w:before="40" w:after="80" w:line="300" w:lineRule="exact"/>
        <w:ind w:left="454" w:hanging="227"/>
      </w:pPr>
      <w:r>
        <w:rPr>
          <w:rFonts w:ascii="Calibri" w:hAnsi="Calibri"/>
          <w:b/>
          <w:color w:val="1A375E"/>
          <w:sz w:val="22"/>
        </w:rPr>
        <w:t>Teacher Empowerment:</w:t>
      </w:r>
      <w:r>
        <w:rPr>
          <w:rFonts w:ascii="Calibri" w:hAnsi="Calibri"/>
          <w:b w:val="0"/>
          <w:color w:val="1A1A1A"/>
          <w:sz w:val="22"/>
        </w:rPr>
        <w:t xml:space="preserve"> The approach provides clear frameworks and materials that reduce uncertainty, improve lesson planning, and allow teachers to focus on instruction and student engagement.</w:t>
      </w:r>
    </w:p>
    <w:p>
      <w:pPr>
        <w:pStyle w:val="ListBullet"/>
        <w:spacing w:before="40" w:after="80" w:line="300" w:lineRule="exact"/>
        <w:ind w:left="454" w:hanging="227"/>
      </w:pPr>
      <w:r>
        <w:rPr>
          <w:rFonts w:ascii="Calibri" w:hAnsi="Calibri"/>
          <w:b/>
          <w:color w:val="1A375E"/>
          <w:sz w:val="22"/>
        </w:rPr>
        <w:t>Data-Driven Decision Making:</w:t>
      </w:r>
      <w:r>
        <w:rPr>
          <w:rFonts w:ascii="Calibri" w:hAnsi="Calibri"/>
          <w:b w:val="0"/>
          <w:color w:val="1A1A1A"/>
          <w:sz w:val="22"/>
        </w:rPr>
        <w:t xml:space="preserve"> Regular, low-stakes assessments create a mechanism for continuous improvement, enabling local education authorities to identify and address challenges as they arise.</w:t>
      </w:r>
    </w:p>
    <w:p>
      <w:pPr>
        <w:pBdr>
          <w:bottom w:val="single" w:sz="8" w:space="4" w:color="2E6DA4"/>
        </w:pBdr>
        <w:spacing w:before="360" w:after="120"/>
      </w:pPr>
      <w:r>
        <w:rPr>
          <w:rFonts w:ascii="Calibri" w:hAnsi="Calibri"/>
          <w:b/>
          <w:color w:val="1A375E"/>
          <w:sz w:val="22"/>
        </w:rPr>
        <w:t>SYSTEMIC CHALLENGES</w:t>
      </w:r>
    </w:p>
    <w:p>
      <w:pPr>
        <w:spacing w:before="0" w:after="160" w:line="320" w:lineRule="exact"/>
      </w:pPr>
      <w:r>
        <w:rPr>
          <w:rFonts w:ascii="Calibri" w:hAnsi="Calibri"/>
          <w:b w:val="0"/>
          <w:color w:val="1A1A1A"/>
          <w:sz w:val="22"/>
        </w:rPr>
        <w:t>The success of the structured pedagogy model is contingent on overcoming significant, deeply-rooted challenges within the Nigerian education sector.</w:t>
      </w:r>
    </w:p>
    <w:p>
      <w:pPr>
        <w:pStyle w:val="ListBullet"/>
        <w:spacing w:before="40" w:after="80" w:line="300" w:lineRule="exact"/>
        <w:ind w:left="454" w:hanging="227"/>
      </w:pPr>
      <w:r>
        <w:rPr>
          <w:rFonts w:ascii="Calibri" w:hAnsi="Calibri"/>
          <w:b/>
          <w:color w:val="1A375E"/>
          <w:sz w:val="22"/>
        </w:rPr>
        <w:t>Systemic Resource Gaps:</w:t>
      </w:r>
      <w:r>
        <w:rPr>
          <w:rFonts w:ascii="Calibri" w:hAnsi="Calibri"/>
          <w:b w:val="0"/>
          <w:color w:val="1A1A1A"/>
          <w:sz w:val="22"/>
        </w:rPr>
        <w:t xml:space="preserve"> A shortage of qualified teachers, high pupil-teacher ratios (98:1 at primary level), and inadequate funding for facilities and learning aids are major impediments.</w:t>
      </w:r>
    </w:p>
    <w:p>
      <w:pPr>
        <w:pStyle w:val="ListBullet"/>
        <w:spacing w:before="40" w:after="80" w:line="300" w:lineRule="exact"/>
        <w:ind w:left="454" w:hanging="227"/>
      </w:pPr>
      <w:r>
        <w:rPr>
          <w:rFonts w:ascii="Calibri" w:hAnsi="Calibri"/>
          <w:b/>
          <w:color w:val="1A375E"/>
          <w:sz w:val="22"/>
        </w:rPr>
        <w:t>Material Scarcity and Logistics:</w:t>
      </w:r>
      <w:r>
        <w:rPr>
          <w:rFonts w:ascii="Calibri" w:hAnsi="Calibri"/>
          <w:b w:val="0"/>
          <w:color w:val="1A1A1A"/>
          <w:sz w:val="22"/>
        </w:rPr>
        <w:t xml:space="preserve"> Achieving and sustaining a 1:1 student-to-textbook ratio is a significant logistical and financial challenge — the starting point was often 5:1 even in core subjects.</w:t>
      </w:r>
    </w:p>
    <w:p>
      <w:pPr>
        <w:pStyle w:val="ListBullet"/>
        <w:spacing w:before="40" w:after="80" w:line="300" w:lineRule="exact"/>
        <w:ind w:left="454" w:hanging="227"/>
      </w:pPr>
      <w:r>
        <w:rPr>
          <w:rFonts w:ascii="Calibri" w:hAnsi="Calibri"/>
          <w:b/>
          <w:color w:val="1A375E"/>
          <w:sz w:val="22"/>
        </w:rPr>
        <w:t>Policy and Curriculum Alignment:</w:t>
      </w:r>
      <w:r>
        <w:rPr>
          <w:rFonts w:ascii="Calibri" w:hAnsi="Calibri"/>
          <w:b w:val="0"/>
          <w:color w:val="1A1A1A"/>
          <w:sz w:val="22"/>
        </w:rPr>
        <w:t xml:space="preserve"> The national curriculum lacks a dedicated subject for reading, with literacy subsumed under English Studies — ineffective in early grades where students lack prerequisite oral English skills. A comprehensive National Language Policy remains stalled by budgetary constraints.</w:t>
      </w:r>
    </w:p>
    <w:p>
      <w:pPr>
        <w:pStyle w:val="ListBullet"/>
        <w:spacing w:before="40" w:after="80" w:line="300" w:lineRule="exact"/>
        <w:ind w:left="454" w:hanging="227"/>
      </w:pPr>
      <w:r>
        <w:rPr>
          <w:rFonts w:ascii="Calibri" w:hAnsi="Calibri"/>
          <w:b/>
          <w:color w:val="1A375E"/>
          <w:sz w:val="22"/>
        </w:rPr>
        <w:t>Data Infrastructure Weakness:</w:t>
      </w:r>
      <w:r>
        <w:rPr>
          <w:rFonts w:ascii="Calibri" w:hAnsi="Calibri"/>
          <w:b w:val="0"/>
          <w:color w:val="1A1A1A"/>
          <w:sz w:val="22"/>
        </w:rPr>
        <w:t xml:space="preserve"> The national EMIS team operates with a minimal budget, limiting capacity for robust large-scale monitoring and evaluation of the programme.</w:t>
      </w:r>
    </w:p>
    <w:p>
      <w:pPr>
        <w:pBdr>
          <w:bottom w:val="single" w:sz="8" w:space="4" w:color="2E6DA4"/>
        </w:pBdr>
        <w:spacing w:before="360" w:after="120"/>
      </w:pPr>
      <w:r>
        <w:rPr>
          <w:rFonts w:ascii="Calibri" w:hAnsi="Calibri"/>
          <w:b/>
          <w:color w:val="1A375E"/>
          <w:sz w:val="22"/>
        </w:rPr>
        <w:t>CONCLUSION</w:t>
      </w:r>
    </w:p>
    <w:p>
      <w:pPr>
        <w:spacing w:before="0" w:after="160" w:line="320" w:lineRule="exact"/>
      </w:pPr>
      <w:r>
        <w:rPr>
          <w:rFonts w:ascii="Calibri" w:hAnsi="Calibri"/>
          <w:b w:val="0"/>
          <w:color w:val="1A1A1A"/>
          <w:sz w:val="22"/>
        </w:rPr>
        <w:t>The Structured Pedagogy approach represents a promising, evidence-based strategy to address Nigeria’s foundational learning crisis. Its focus on high-quality materials, intensive teacher support, and a data-driven feedback loop directly targets the core drivers of poor learning outcomes. However, for this pedagogical intervention to succeed and be sustained, it must be implemented alongside concerted efforts to address the broader systemic challenges of teacher shortages, inadequate funding, and policy alignment.</w:t>
      </w:r>
    </w:p>
    <w:sectPr w:rsidR="00FC693F" w:rsidRPr="0006063C" w:rsidSect="00034616">
      <w:footerReference w:type="default" r:id="rId9"/>
      <w:pgSz w:w="12240" w:h="15840"/>
      <w:pgMar w:top="1417" w:right="1417"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Calibri" w:hAnsi="Calibri"/>
        <w:color w:val="555555"/>
        <w:sz w:val="16"/>
      </w:rPr>
      <w:t>Nigeria Structured Pedagogy Review  ·  April 2026  ·  Learning Masterminds</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