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Weekly Activity Report: April 20 – 25</w:t>
      </w:r>
    </w:p>
    <w:p>
      <w:pPr>
        <w:jc w:val="center"/>
      </w:pPr>
      <w:r>
        <w:rPr>
          <w:color w:val="999999"/>
          <w:sz w:val="20"/>
        </w:rPr>
        <w:t>Nasir Baba | April 2026</w:t>
      </w:r>
    </w:p>
    <w:p/>
    <w:p>
      <w:pPr>
        <w:pStyle w:val="Heading1"/>
      </w:pPr>
      <w:r>
        <w:t>Harmonization Workshop</w:t>
      </w:r>
    </w:p>
    <w:p>
      <w:r>
        <w:rPr>
          <w:rFonts w:ascii="Calibri" w:hAnsi="Calibri"/>
          <w:sz w:val="22"/>
        </w:rPr>
        <w:t>The planning meeting for the harmonization workshop was convened on Monday, April 20. This session served as the primary coordination point for the week's strategic alignment objectives.</w:t>
      </w:r>
    </w:p>
    <w:p>
      <w:pPr>
        <w:pStyle w:val="Heading1"/>
      </w:pPr>
      <w:r>
        <w:t>Material Development Workshop Activities</w:t>
      </w:r>
    </w:p>
    <w:p>
      <w:r>
        <w:rPr>
          <w:rFonts w:ascii="Calibri" w:hAnsi="Calibri"/>
          <w:sz w:val="22"/>
        </w:rPr>
        <w:t>This week focused on the execution of material development workshop activities. Key high-level highlights include the progression of core development tasks and the integration of relevant assets.</w:t>
      </w:r>
    </w:p>
    <w:p>
      <w:pPr>
        <w:pStyle w:val="Heading1"/>
      </w:pPr>
      <w:r>
        <w:t>Planned Activities: Final Week of Material Development Workshop</w:t>
      </w:r>
    </w:p>
    <w:p>
      <w:r>
        <w:rPr>
          <w:rFonts w:ascii="Calibri" w:hAnsi="Calibri"/>
          <w:sz w:val="22"/>
        </w:rPr>
        <w:t>Looking ahead, the final week of the material development workshop will focus on concluding remaining deliverables and finalizing the integration of all components.</w:t>
      </w:r>
    </w:p>
    <w:p>
      <w:pPr>
        <w:pStyle w:val="Heading2"/>
      </w:pPr>
      <w:r>
        <w:t>Reference Source</w:t>
      </w:r>
    </w:p>
    <w:p>
      <w:r>
        <w:rPr>
          <w:rFonts w:ascii="Calibri" w:hAnsi="Calibri"/>
          <w:sz w:val="22"/>
        </w:rPr>
        <w:t>This report is based on the ingested Obsidian notes regarding the material harmonization workshop. The document structure aligns with the formatting standards of previous weekly reports maintained in the Knowledge Base.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